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D3" w:rsidRPr="00266DD3" w:rsidRDefault="00266DD3" w:rsidP="00266DD3">
      <w:pPr>
        <w:keepNext/>
        <w:spacing w:before="240" w:after="60" w:line="240" w:lineRule="auto"/>
        <w:jc w:val="center"/>
        <w:outlineLvl w:val="0"/>
        <w:rPr>
          <w:rFonts w:ascii="Tahoma" w:eastAsia="Times New Roman" w:hAnsi="Tahoma" w:cs="Arial"/>
          <w:b/>
          <w:kern w:val="32"/>
          <w:sz w:val="24"/>
          <w:szCs w:val="32"/>
          <w:lang w:val="hr-HR" w:eastAsia="sr-Latn-CS"/>
        </w:rPr>
      </w:pPr>
      <w:r w:rsidRPr="00266DD3">
        <w:rPr>
          <w:rFonts w:ascii="Tahoma" w:eastAsia="Times New Roman" w:hAnsi="Tahoma" w:cs="Arial"/>
          <w:b/>
          <w:kern w:val="32"/>
          <w:sz w:val="24"/>
          <w:szCs w:val="32"/>
          <w:lang w:val="hr-HR" w:eastAsia="sr-Latn-CS"/>
        </w:rPr>
        <w:t>ELEKTRIČNI MJERNI INSTRUMENTI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8"/>
          <w:szCs w:val="24"/>
          <w:lang w:val="hr-HR" w:eastAsia="sr-Latn-CS"/>
        </w:rPr>
      </w:pPr>
    </w:p>
    <w:p w:rsidR="00266DD3" w:rsidRPr="00266DD3" w:rsidRDefault="00266DD3" w:rsidP="00266DD3">
      <w:pPr>
        <w:keepNext/>
        <w:spacing w:before="240" w:after="60" w:line="240" w:lineRule="auto"/>
        <w:jc w:val="both"/>
        <w:outlineLvl w:val="2"/>
        <w:rPr>
          <w:rFonts w:ascii="Tahoma" w:eastAsia="Times New Roman" w:hAnsi="Tahoma" w:cs="Arial"/>
          <w:b/>
          <w:sz w:val="20"/>
          <w:szCs w:val="26"/>
          <w:lang w:val="hr-HR" w:eastAsia="sr-Latn-CS"/>
        </w:rPr>
      </w:pPr>
      <w:r w:rsidRPr="00266DD3">
        <w:rPr>
          <w:rFonts w:ascii="Tahoma" w:eastAsia="Times New Roman" w:hAnsi="Tahoma" w:cs="Arial"/>
          <w:b/>
          <w:sz w:val="20"/>
          <w:szCs w:val="26"/>
          <w:lang w:val="hr-HR" w:eastAsia="sr-Latn-CS"/>
        </w:rPr>
        <w:t>SIMBOLI MJERNIH INSTRUMENATA I DRUGE LABORATORIJSKE OPREME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Električni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služe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neposredno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elektičnih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što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: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struja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snaga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otpor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faktor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snage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frekvencija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kapacitet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slično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Redovito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kod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električnih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instrumenata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djeluje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jedan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otklanja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ga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zajedno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kazaljkom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Njegov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otklon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mora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zavisiti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vrijednosti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tako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da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određenoj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vrijednosti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odgovara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određeni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organa,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odnosno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kazaljke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Na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djeluje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još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jedan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mehanički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ili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električni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protumomenat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suprostavlja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momentu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pa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zauzima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gdje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oba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momenta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ravnoteži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ovome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protumomenat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mora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zavisiti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organa, pa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često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svrhu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upotrebljavaju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spiralne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opruge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ili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torzione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trake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čiji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momenat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proporcionalanuglu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njihova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zakretanja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Kako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zaustavlja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gdje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momenti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ravnoteži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biti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će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momenat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izazvan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mjerenom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veličinom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proporcionalan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otklonu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pomičnog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organa.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Ovim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dobija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tražena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zavisnost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otklona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o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vrijednosti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Sam način djelovanja mjerene veličine na pomični organ zasniva se na raznim principima, zavisno o vrsti instrumenta. Tu se koriste elektromagnetske,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elekktrostatske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, elektrotermičke i elektrolitičke pojave.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električnih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predstavlja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složen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veoma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stručan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posao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a</w:t>
      </w:r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metode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služe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ovom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cilju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mnogobrojne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raznovrsne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Osnovni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zadatak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da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putemeksperimenta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dokažu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osnovni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zakoni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pojave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elektrotehnici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detaljno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proučavanje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tehnike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električnih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magnetnih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kola.</w:t>
      </w:r>
      <w:proofErr w:type="gramEnd"/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Zbog toga će se koristiti samo osnovni mjerni metodi i instrumenti.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Da bi se uspješno pratili i razumjeli eksperimenti potrebno je savladati ne samo osnovne teoretske postavke na kojima počiva eksperiment već upoznati i sljedeće: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princip rada i osnovne karakteristike mjernih instrumenata,</w:t>
      </w:r>
    </w:p>
    <w:p w:rsidR="00266DD3" w:rsidRPr="00266DD3" w:rsidRDefault="00266DD3" w:rsidP="00266DD3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metod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mjerenja struje, napona i snage.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mogu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biti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klasificirani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prema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različitim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kriterijima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  <w:proofErr w:type="gramEnd"/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Karakteristične osobine mjernih instrumenata su: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električna veličina koja se mjeri,</w:t>
      </w:r>
    </w:p>
    <w:p w:rsidR="00266DD3" w:rsidRPr="00266DD3" w:rsidRDefault="00266DD3" w:rsidP="00266DD3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vrsta struje ili napona,</w:t>
      </w:r>
    </w:p>
    <w:p w:rsidR="00266DD3" w:rsidRPr="00266DD3" w:rsidRDefault="00266DD3" w:rsidP="00266DD3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preciznost, odnosno stepen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tačnosti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,</w:t>
      </w:r>
    </w:p>
    <w:p w:rsidR="00266DD3" w:rsidRPr="00266DD3" w:rsidRDefault="00266DD3" w:rsidP="00266DD3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princip djelovanja.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/>
        </w:rPr>
        <w:br w:type="page"/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lastRenderedPageBreak/>
        <w:t>U Tabeli 1</w:t>
      </w:r>
      <w:r w:rsidRPr="00266DD3">
        <w:rPr>
          <w:rFonts w:ascii="Tahoma" w:eastAsia="Times New Roman" w:hAnsi="Tahoma" w:cs="Times New Roman"/>
          <w:b/>
          <w:bCs/>
          <w:sz w:val="20"/>
          <w:szCs w:val="24"/>
          <w:lang w:val="hr-HR" w:eastAsia="sr-Latn-CS"/>
        </w:rPr>
        <w:t xml:space="preserve">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prikazani su osnovni pokazni mjerni instrumenti za mjerenje jednosmjernih struja i dati su njihovi simboli.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6675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22.75pt" o:ole="">
            <v:imagedata r:id="rId6" o:title=""/>
          </v:shape>
          <o:OLEObject Type="Embed" ProgID="PBrush" ShapeID="_x0000_i1025" DrawAspect="Content" ObjectID="_1652106903" r:id="rId7"/>
        </w:objec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Tabela 1.</w: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Pokazni mjerni instrumenti (instrumenti sa kazaljkom), simbolički se označavaju krugom u koji se upisuje oznaka za vrstu pokaznog instrumenta.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Za razliku od pokaznih instrumenata, registrirajući instrumenti se simbolički označavaju ne krugom već kvadratom. Primjer označavanja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registrirajućeg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ampermetra, voltmetra i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vatmetra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prikazan je na Slici 1.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6660" w:dyaOrig="2010">
          <v:shape id="_x0000_i1026" type="#_x0000_t75" style="width:333pt;height:100.5pt" o:ole="">
            <v:imagedata r:id="rId8" o:title=""/>
          </v:shape>
          <o:OLEObject Type="Embed" ProgID="PBrush" ShapeID="_x0000_i1026" DrawAspect="Content" ObjectID="_1652106904" r:id="rId9"/>
        </w:objec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Slika 1.</w: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b/>
          <w:bCs/>
          <w:sz w:val="20"/>
          <w:szCs w:val="24"/>
          <w:lang w:val="en-GB" w:eastAsia="sr-Latn-CS"/>
        </w:rPr>
      </w:pP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Pokazni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mogu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da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nose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oznaku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multipla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odnosno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podmultipla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osnovne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veličine.Tako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postoje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druge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pokazne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što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pokazano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Tabeli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2.</w:t>
      </w:r>
      <w:proofErr w:type="gramEnd"/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/>
        </w:rPr>
        <w:br w:type="page"/>
      </w: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6660" w:dyaOrig="4125">
          <v:shape id="_x0000_i1027" type="#_x0000_t75" style="width:333pt;height:206.25pt" o:ole="">
            <v:imagedata r:id="rId10" o:title=""/>
          </v:shape>
          <o:OLEObject Type="Embed" ProgID="PBrush" ShapeID="_x0000_i1027" DrawAspect="Content" ObjectID="_1652106905" r:id="rId11"/>
        </w:object>
      </w:r>
    </w:p>
    <w:p w:rsidR="00266DD3" w:rsidRPr="00266DD3" w:rsidRDefault="00266DD3" w:rsidP="0026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en-GB" w:eastAsia="sr-Latn-CS"/>
        </w:rPr>
      </w:pPr>
      <w:proofErr w:type="spellStart"/>
      <w:proofErr w:type="gramStart"/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en-GB" w:eastAsia="sr-Latn-CS"/>
        </w:rPr>
        <w:t>Tabela</w:t>
      </w:r>
      <w:proofErr w:type="spellEnd"/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en-GB" w:eastAsia="sr-Latn-CS"/>
        </w:rPr>
        <w:t xml:space="preserve"> 2.</w:t>
      </w:r>
      <w:proofErr w:type="gramEnd"/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Druga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važna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karakteristična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instrumenata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označava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da li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služi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jednosmjernih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ili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naizmjeničnih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veličina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Prema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vrsti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struje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(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)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nose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dodatnu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oznaku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odnosno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simbol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kako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to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prikazano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Tabeli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3.</w:t>
      </w:r>
      <w:proofErr w:type="gramEnd"/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b/>
          <w:bCs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7035" w:dyaOrig="2220">
          <v:shape id="_x0000_i1028" type="#_x0000_t75" style="width:351.75pt;height:111pt" o:ole="">
            <v:imagedata r:id="rId12" o:title=""/>
          </v:shape>
          <o:OLEObject Type="Embed" ProgID="PBrush" ShapeID="_x0000_i1028" DrawAspect="Content" ObjectID="_1652106906" r:id="rId13"/>
        </w:objec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Tabela 3.</w: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Treća karakteristična veličina mjernog instrumenta je njegova preciznost,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tačnost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ili kako se još naziva klasa instrumenta.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Klasa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tačnosti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mjernog instrumenta označava najveću grešku u procentima koja se može pojaviti prilikom mjerenja. Veličina greške se obračunava za odgovarajuće mjerno područje tj. na čitavu skalu instrumenta.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Klasa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tačnosti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mjernih instrumenata prema standardima može da bude: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0.05  0.1  0.2  0.5  1.0  1.5  2.5  4.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Četvrta karakteristična veličina mjernih instrumenata je princip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djelovalja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. U Tabeli 4</w:t>
      </w:r>
      <w:r w:rsidRPr="00266DD3">
        <w:rPr>
          <w:rFonts w:ascii="Tahoma" w:eastAsia="Times New Roman" w:hAnsi="Tahoma" w:cs="Times New Roman"/>
          <w:b/>
          <w:bCs/>
          <w:sz w:val="20"/>
          <w:szCs w:val="24"/>
          <w:lang w:val="hr-HR" w:eastAsia="sr-Latn-CS"/>
        </w:rPr>
        <w:t xml:space="preserve"> 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naznačeni su osnovni principi djelovanja mjernih instrumenata u kolima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jednismjerne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struje i date njihove oznake, simboli.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7035" w:dyaOrig="2160">
          <v:shape id="_x0000_i1029" type="#_x0000_t75" style="width:351.75pt;height:108pt" o:ole="">
            <v:imagedata r:id="rId14" o:title=""/>
          </v:shape>
          <o:OLEObject Type="Embed" ProgID="PBrush" ShapeID="_x0000_i1029" DrawAspect="Content" ObjectID="_1652106907" r:id="rId15"/>
        </w:objec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Tabela 4.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Prilikom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instrument mora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uvijek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biti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postavljen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odgovarajući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Zbog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toga se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nalaze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standardizovani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simboli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ukazuju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pravilan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mora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zauzeti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Tabeli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5 date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karakterističan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položaj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instrumenata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7050" w:dyaOrig="2175">
          <v:shape id="_x0000_i1030" type="#_x0000_t75" style="width:352.5pt;height:108.75pt" o:ole="">
            <v:imagedata r:id="rId16" o:title=""/>
          </v:shape>
          <o:OLEObject Type="Embed" ProgID="PBrush" ShapeID="_x0000_i1030" DrawAspect="Content" ObjectID="_1652106908" r:id="rId17"/>
        </w:objec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Tabela 5.</w: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Standardi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definiraju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pojedine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radne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instrumenata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odgovarajuće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ispitne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treba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ispitati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između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kućišta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sistema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Tabeli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6.</w:t>
      </w:r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date</w:t>
      </w:r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ispitane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dielektrične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čvrstoće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7035" w:dyaOrig="2190">
          <v:shape id="_x0000_i1031" type="#_x0000_t75" style="width:351.75pt;height:109.5pt" o:ole="">
            <v:imagedata r:id="rId18" o:title=""/>
          </v:shape>
          <o:OLEObject Type="Embed" ProgID="PBrush" ShapeID="_x0000_i1031" DrawAspect="Content" ObjectID="_1652106909" r:id="rId19"/>
        </w:objec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Tabela 6.</w: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Jačina električne struje, u električnim kolima, mjeri se instrumentima koji se zovu ampermetri. Bez obzira da li se radi o ampermetrima za mjerenje jednosmjerne ili naizmjenične struje, u električnim kolima ovaj instrument se veže na red sa potrošačem, kroz koji se želi izmjeriti jačina struje.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Ukoliko se radi o ampermetrima za mjerenje jednosmjerne struje pored priključnih stezaljki može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uočoti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oznaka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+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i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-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, što ukazuje na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tačno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određen način priključivanja.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Pozitivni smjer struje ulazi na priključak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plus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(+) ampermetra, tako da struja kroz ampermetar teče u smjeru od pozitivnog ka negativnom priključku, Slika 2.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Uzima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da je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unutrašnja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otpornost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idealnog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ampermetra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jednaka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nuli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odnosno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realnog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ampermetra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zanemarivo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mala, pa je pad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mali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(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zanemariv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)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čime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ne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remeti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energetsko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stanje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kolu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6690" w:dyaOrig="1305">
          <v:shape id="_x0000_i1032" type="#_x0000_t75" style="width:334.5pt;height:65.25pt" o:ole="">
            <v:imagedata r:id="rId20" o:title=""/>
          </v:shape>
          <o:OLEObject Type="Embed" ProgID="PBrush" ShapeID="_x0000_i1032" DrawAspect="Content" ObjectID="_1652106910" r:id="rId21"/>
        </w:object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Slika 2.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ab/>
      </w:r>
    </w:p>
    <w:p w:rsidR="00266DD3" w:rsidRPr="00266DD3" w:rsidRDefault="00266DD3" w:rsidP="0026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potrošaču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električnim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kolima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instrumentimakoji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zovu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voltmetri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Voltmetri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priključuju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paralelno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potrošačima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kojima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treba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izmjeriti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pad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Slika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3.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Karakteriše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ih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velika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otpornost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mjernog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svitka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kako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bi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struja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kroz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ovaj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svitak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svela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što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manju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vrijednost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energetska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slika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kola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ostala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ista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priključivanja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instrumenta</w:t>
      </w:r>
      <w:proofErr w:type="spellEnd"/>
      <w:r w:rsidRPr="00266DD3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>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noProof/>
          <w:sz w:val="20"/>
          <w:szCs w:val="24"/>
          <w:lang w:eastAsia="sr-Latn-CS"/>
        </w:rPr>
        <w:drawing>
          <wp:anchor distT="0" distB="0" distL="114300" distR="114300" simplePos="0" relativeHeight="251659264" behindDoc="0" locked="0" layoutInCell="1" allowOverlap="1" wp14:anchorId="06A27C67" wp14:editId="228B362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46045" cy="1631315"/>
            <wp:effectExtent l="0" t="0" r="1905" b="6985"/>
            <wp:wrapTopAndBottom/>
            <wp:docPr id="1" name="Slika 1" descr="Slik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  <w:t>Slika 3.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Snaga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razvija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potrošaču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se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vatmetrom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,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čiji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šematski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prikaz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dat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Slici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4.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Najčešća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konstrukcija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vatmetra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obliku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elektrodinamičkog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.</w:t>
      </w:r>
      <w:proofErr w:type="gramEnd"/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5100" w:dyaOrig="3900">
          <v:shape id="_x0000_i1033" type="#_x0000_t75" style="width:255pt;height:195pt" o:ole="">
            <v:imagedata r:id="rId23" o:title=""/>
          </v:shape>
          <o:OLEObject Type="Embed" ProgID="PBrush" ShapeID="_x0000_i1033" DrawAspect="Content" ObjectID="_1652106911" r:id="rId24"/>
        </w:objec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U osnovi ovakav instrument se sastoji od dva svitka, od kojih se jedan priključuje na red sa potrošačem, a drugi paralelno potrošaču, odnosno priključenom naponu.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/>
        </w:rPr>
        <w:br w:type="page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lastRenderedPageBreak/>
        <w:t xml:space="preserve">Na osnovu toga razlikujemo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strujnu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i 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naponsku</w:t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granu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vatmetra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Obje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sym w:font="Symbol" w:char="F0B2"/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grane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sym w:font="Symbol" w:char="F0B2"/>
      </w: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vatmetra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imaju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označene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ulaze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(+)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ili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(*)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koje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bi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trebalo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dovesti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pozitivan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otklon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kazaljke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.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Izgled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prednje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strane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instrumenta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za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mjerenje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napona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dat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je </w:t>
      </w:r>
      <w:proofErr w:type="spellStart"/>
      <w:proofErr w:type="gram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na</w:t>
      </w:r>
      <w:proofErr w:type="spellEnd"/>
      <w:proofErr w:type="gram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</w:t>
      </w: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>Slici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t xml:space="preserve"> 5.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en-GB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8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en-GB" w:eastAsia="sr-Latn-CS"/>
        </w:rPr>
        <w:object w:dxaOrig="3855" w:dyaOrig="5160">
          <v:shape id="_x0000_i1034" type="#_x0000_t75" style="width:192.75pt;height:258pt" o:ole="">
            <v:imagedata r:id="rId25" o:title=""/>
          </v:shape>
          <o:OLEObject Type="Embed" ProgID="PBrush" ShapeID="_x0000_i1034" DrawAspect="Content" ObjectID="_1652106912" r:id="rId26"/>
        </w:object>
      </w:r>
    </w:p>
    <w:p w:rsidR="00266DD3" w:rsidRPr="00266DD3" w:rsidRDefault="00266DD3" w:rsidP="0026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hr-HR" w:eastAsia="sr-Latn-CS"/>
        </w:rPr>
      </w:pPr>
      <w:r w:rsidRPr="00266DD3">
        <w:rPr>
          <w:rFonts w:ascii="Tahoma" w:eastAsia="Times New Roman" w:hAnsi="Tahoma" w:cs="Tahoma"/>
          <w:sz w:val="24"/>
          <w:szCs w:val="24"/>
          <w:lang w:val="hr-HR" w:eastAsia="sr-Latn-CS"/>
        </w:rPr>
        <w:t>Legenda: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priključne stezaljke</w:t>
      </w:r>
    </w:p>
    <w:p w:rsidR="00266DD3" w:rsidRPr="00266DD3" w:rsidRDefault="00266DD3" w:rsidP="00266D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proofErr w:type="spellStart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preklopka</w:t>
      </w:r>
      <w:proofErr w:type="spellEnd"/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 xml:space="preserve"> za izbor mjernog instrumenta</w:t>
      </w:r>
    </w:p>
    <w:p w:rsidR="00266DD3" w:rsidRPr="00266DD3" w:rsidRDefault="00266DD3" w:rsidP="00266D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skala instrumenta</w:t>
      </w:r>
    </w:p>
    <w:p w:rsidR="00266DD3" w:rsidRPr="00266DD3" w:rsidRDefault="00266DD3" w:rsidP="00266D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kazaljka</w:t>
      </w:r>
    </w:p>
    <w:p w:rsidR="00266DD3" w:rsidRPr="00266DD3" w:rsidRDefault="00266DD3" w:rsidP="00266D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voltmetar</w:t>
      </w:r>
    </w:p>
    <w:p w:rsidR="00266DD3" w:rsidRPr="00266DD3" w:rsidRDefault="00266DD3" w:rsidP="00266DD3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sz w:val="20"/>
          <w:szCs w:val="24"/>
          <w:lang w:val="hr-HR" w:eastAsia="sr-Latn-CS"/>
        </w:rPr>
        <w:t>karakteristike instrumenta</w:t>
      </w:r>
    </w:p>
    <w:p w:rsidR="00266DD3" w:rsidRPr="00266DD3" w:rsidRDefault="00266DD3" w:rsidP="00266DD3">
      <w:pPr>
        <w:spacing w:after="0" w:line="240" w:lineRule="auto"/>
        <w:ind w:left="360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tbl>
      <w:tblPr>
        <w:tblpPr w:leftFromText="180" w:rightFromText="180" w:vertAnchor="page" w:horzAnchor="margin" w:tblpY="10576"/>
        <w:tblW w:w="0" w:type="auto"/>
        <w:tblLook w:val="04A0" w:firstRow="1" w:lastRow="0" w:firstColumn="1" w:lastColumn="0" w:noHBand="0" w:noVBand="1"/>
      </w:tblPr>
      <w:tblGrid>
        <w:gridCol w:w="2203"/>
        <w:gridCol w:w="6836"/>
      </w:tblGrid>
      <w:tr w:rsidR="00266DD3" w:rsidRPr="00266DD3" w:rsidTr="00266DD3">
        <w:trPr>
          <w:trHeight w:val="480"/>
        </w:trPr>
        <w:tc>
          <w:tcPr>
            <w:tcW w:w="2203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40...60...400 [Hz]</w:t>
            </w:r>
          </w:p>
        </w:tc>
        <w:tc>
          <w:tcPr>
            <w:tcW w:w="6836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radno područje</w:t>
            </w:r>
          </w:p>
        </w:tc>
      </w:tr>
      <w:tr w:rsidR="00266DD3" w:rsidRPr="00266DD3" w:rsidTr="00266DD3">
        <w:trPr>
          <w:trHeight w:val="480"/>
        </w:trPr>
        <w:tc>
          <w:tcPr>
            <w:tcW w:w="2203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0.5</w:t>
            </w:r>
          </w:p>
        </w:tc>
        <w:tc>
          <w:tcPr>
            <w:tcW w:w="6836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 xml:space="preserve">klasa </w:t>
            </w:r>
            <w:proofErr w:type="spellStart"/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tačnosti</w:t>
            </w:r>
            <w:proofErr w:type="spellEnd"/>
          </w:p>
        </w:tc>
      </w:tr>
      <w:tr w:rsidR="00266DD3" w:rsidRPr="00266DD3" w:rsidTr="00266DD3">
        <w:trPr>
          <w:trHeight w:val="480"/>
        </w:trPr>
        <w:tc>
          <w:tcPr>
            <w:tcW w:w="2203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object w:dxaOrig="420" w:dyaOrig="315">
                <v:shape id="_x0000_i1035" type="#_x0000_t75" style="width:21pt;height:15.75pt" o:ole="">
                  <v:imagedata r:id="rId27" o:title=""/>
                </v:shape>
                <o:OLEObject Type="Embed" ProgID="PBrush" ShapeID="_x0000_i1035" DrawAspect="Content" ObjectID="_1652106913" r:id="rId28"/>
              </w:object>
            </w:r>
          </w:p>
        </w:tc>
        <w:tc>
          <w:tcPr>
            <w:tcW w:w="6836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instrument predviđen za mjerenje i jednosmjernog i naizmjeničnog napona</w:t>
            </w:r>
          </w:p>
        </w:tc>
      </w:tr>
      <w:tr w:rsidR="00266DD3" w:rsidRPr="00266DD3" w:rsidTr="00266DD3">
        <w:trPr>
          <w:trHeight w:val="480"/>
        </w:trPr>
        <w:tc>
          <w:tcPr>
            <w:tcW w:w="2203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object w:dxaOrig="375" w:dyaOrig="315">
                <v:shape id="_x0000_i1036" type="#_x0000_t75" style="width:18.75pt;height:15.75pt" o:ole="">
                  <v:imagedata r:id="rId29" o:title=""/>
                </v:shape>
                <o:OLEObject Type="Embed" ProgID="PBrush" ShapeID="_x0000_i1036" DrawAspect="Content" ObjectID="_1652106914" r:id="rId30"/>
              </w:object>
            </w:r>
          </w:p>
        </w:tc>
        <w:tc>
          <w:tcPr>
            <w:tcW w:w="6836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 xml:space="preserve">instrument sa </w:t>
            </w:r>
            <w:proofErr w:type="spellStart"/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pomočnim</w:t>
            </w:r>
            <w:proofErr w:type="spellEnd"/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 xml:space="preserve"> željezom jezgrom</w:t>
            </w:r>
          </w:p>
        </w:tc>
      </w:tr>
      <w:tr w:rsidR="00266DD3" w:rsidRPr="00266DD3" w:rsidTr="00266DD3">
        <w:trPr>
          <w:trHeight w:val="480"/>
        </w:trPr>
        <w:tc>
          <w:tcPr>
            <w:tcW w:w="2203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object w:dxaOrig="840" w:dyaOrig="435">
                <v:shape id="_x0000_i1037" type="#_x0000_t75" style="width:42pt;height:21.75pt" o:ole="">
                  <v:imagedata r:id="rId31" o:title=""/>
                </v:shape>
                <o:OLEObject Type="Embed" ProgID="PBrush" ShapeID="_x0000_i1037" DrawAspect="Content" ObjectID="_1652106915" r:id="rId32"/>
              </w:object>
            </w:r>
          </w:p>
        </w:tc>
        <w:tc>
          <w:tcPr>
            <w:tcW w:w="6836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  <w:t>instrument za horizontalni položaj</w:t>
            </w:r>
          </w:p>
        </w:tc>
      </w:tr>
      <w:tr w:rsidR="00266DD3" w:rsidRPr="00266DD3" w:rsidTr="00266DD3">
        <w:trPr>
          <w:trHeight w:val="480"/>
        </w:trPr>
        <w:tc>
          <w:tcPr>
            <w:tcW w:w="2203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object w:dxaOrig="405" w:dyaOrig="360">
                <v:shape id="_x0000_i1038" type="#_x0000_t75" style="width:20.25pt;height:18pt" o:ole="">
                  <v:imagedata r:id="rId33" o:title=""/>
                </v:shape>
                <o:OLEObject Type="Embed" ProgID="PBrush" ShapeID="_x0000_i1038" DrawAspect="Content" ObjectID="_1652106916" r:id="rId34"/>
              </w:object>
            </w:r>
          </w:p>
        </w:tc>
        <w:tc>
          <w:tcPr>
            <w:tcW w:w="6836" w:type="dxa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hr-HR" w:eastAsia="sr-Latn-CS"/>
              </w:rPr>
            </w:pPr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t>ispitni napon 2 [</w:t>
            </w:r>
            <w:proofErr w:type="spellStart"/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t>kV</w:t>
            </w:r>
            <w:proofErr w:type="spellEnd"/>
            <w:r w:rsidRPr="00266DD3"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  <w:t>]</w:t>
            </w:r>
          </w:p>
          <w:p w:rsidR="00266DD3" w:rsidRPr="00266DD3" w:rsidRDefault="00266DD3" w:rsidP="00266D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sr-Latn-CS"/>
              </w:rPr>
            </w:pPr>
          </w:p>
        </w:tc>
      </w:tr>
    </w:tbl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ahoma"/>
          <w:sz w:val="20"/>
          <w:szCs w:val="24"/>
          <w:lang w:val="en-GB" w:eastAsia="sr-Latn-CS"/>
        </w:rPr>
        <w:t xml:space="preserve"> </w:t>
      </w: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  <w:r w:rsidRPr="00266DD3">
        <w:rPr>
          <w:rFonts w:ascii="Tahoma" w:eastAsia="Times New Roman" w:hAnsi="Tahoma" w:cs="Times New Roman"/>
          <w:noProof/>
          <w:sz w:val="20"/>
          <w:szCs w:val="24"/>
          <w:lang w:eastAsia="sr-Latn-CS"/>
        </w:rPr>
        <w:lastRenderedPageBreak/>
        <w:drawing>
          <wp:inline distT="0" distB="0" distL="0" distR="0" wp14:anchorId="1821EC97" wp14:editId="687E0F21">
            <wp:extent cx="5753100" cy="8582025"/>
            <wp:effectExtent l="0" t="0" r="0" b="9525"/>
            <wp:docPr id="2" name="Slika 2" descr="simboli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mboli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266DD3" w:rsidRDefault="00266DD3" w:rsidP="0026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266DD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zaokružili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dio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gradiva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načinima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vrstama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mjerenja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pokazali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kojim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vrstama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naravno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njihovu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klasifikaciju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Pokazali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pripadajuće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simbole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koriste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pravilno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označavanje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korištenje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električne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opreme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</w:p>
    <w:p w:rsidR="00266DD3" w:rsidRPr="00266DD3" w:rsidRDefault="00266DD3" w:rsidP="0026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završetkom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poglavlja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završili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ovaj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On-line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nastave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Ostaje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napravimo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ispite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kviza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zaključimo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ocjene.</w:t>
      </w:r>
      <w:bookmarkStart w:id="0" w:name="_GoBack"/>
      <w:bookmarkEnd w:id="0"/>
      <w:proofErr w:type="gramEnd"/>
    </w:p>
    <w:tbl>
      <w:tblPr>
        <w:tblW w:w="25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</w:tblGrid>
      <w:tr w:rsidR="00266DD3" w:rsidRPr="00266DD3" w:rsidTr="00266DD3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266DD3" w:rsidRPr="00266DD3" w:rsidRDefault="00266DD3" w:rsidP="0026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66DD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object w:dxaOrig="1440" w:dyaOrig="1440">
                <v:shape id="_x0000_i1055" type="#_x0000_t75" style="width:33.75pt;height:13.5pt" o:ole="">
                  <v:imagedata r:id="rId36" o:title=""/>
                </v:shape>
                <w:control r:id="rId37" w:name="DefaultOcxName" w:shapeid="_x0000_i1055"/>
              </w:object>
            </w:r>
          </w:p>
        </w:tc>
      </w:tr>
    </w:tbl>
    <w:p w:rsidR="00266DD3" w:rsidRPr="00266DD3" w:rsidRDefault="00266DD3" w:rsidP="00266DD3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4"/>
          <w:lang w:val="hr-HR" w:eastAsia="sr-Latn-CS"/>
        </w:rPr>
      </w:pPr>
    </w:p>
    <w:p w:rsidR="00597A15" w:rsidRDefault="00597A15"/>
    <w:sectPr w:rsidR="00597A1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761"/>
    <w:multiLevelType w:val="hybridMultilevel"/>
    <w:tmpl w:val="9D02F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922FF"/>
    <w:multiLevelType w:val="hybridMultilevel"/>
    <w:tmpl w:val="9A66B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37850"/>
    <w:multiLevelType w:val="hybridMultilevel"/>
    <w:tmpl w:val="ADF2B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D3"/>
    <w:rsid w:val="00266DD3"/>
    <w:rsid w:val="005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6.jpeg"/><Relationship Id="rId8" Type="http://schemas.openxmlformats.org/officeDocument/2006/relationships/image" Target="media/image2.png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CEPS</dc:creator>
  <cp:lastModifiedBy>CEPS</cp:lastModifiedBy>
  <cp:revision>1</cp:revision>
  <dcterms:created xsi:type="dcterms:W3CDTF">2020-05-27T15:41:00Z</dcterms:created>
  <dcterms:modified xsi:type="dcterms:W3CDTF">2020-05-27T15:48:00Z</dcterms:modified>
</cp:coreProperties>
</file>