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33A" w:rsidRDefault="0037733A" w:rsidP="0037733A">
      <w:pPr>
        <w:jc w:val="center"/>
        <w:rPr>
          <w:rFonts w:ascii="Arial" w:eastAsiaTheme="minorEastAsia" w:hAnsi="Arial" w:cs="Arial"/>
          <w:color w:val="000000" w:themeColor="text1"/>
          <w:kern w:val="24"/>
          <w:sz w:val="40"/>
          <w:szCs w:val="40"/>
        </w:rPr>
      </w:pPr>
      <w:r>
        <w:rPr>
          <w:rFonts w:ascii="Arial" w:eastAsiaTheme="minorEastAsia" w:hAnsi="Arial" w:cs="Arial"/>
          <w:color w:val="000000" w:themeColor="text1"/>
          <w:kern w:val="24"/>
          <w:sz w:val="40"/>
          <w:szCs w:val="40"/>
        </w:rPr>
        <w:t>Ispitivanje žilavosti</w:t>
      </w:r>
    </w:p>
    <w:p w:rsidR="0037733A" w:rsidRPr="0037733A" w:rsidRDefault="0037733A" w:rsidP="0037733A">
      <w:pPr>
        <w:rPr>
          <w:rFonts w:ascii="Arial" w:eastAsiaTheme="minorEastAsia" w:hAnsi="Arial" w:cs="Arial"/>
          <w:color w:val="4F81BD" w:themeColor="accent1"/>
          <w:kern w:val="24"/>
          <w:sz w:val="24"/>
          <w:szCs w:val="24"/>
        </w:rPr>
      </w:pPr>
      <w:r w:rsidRPr="0037733A">
        <w:rPr>
          <w:rFonts w:ascii="Arial" w:eastAsiaTheme="minorEastAsia" w:hAnsi="Arial" w:cs="Arial"/>
          <w:color w:val="4F81BD" w:themeColor="accent1"/>
          <w:kern w:val="24"/>
          <w:sz w:val="24"/>
          <w:szCs w:val="24"/>
        </w:rPr>
        <w:t>Obrada novog sadržaja; 2.4.2020.</w:t>
      </w:r>
    </w:p>
    <w:p w:rsidR="0037733A" w:rsidRPr="0037733A" w:rsidRDefault="0037733A" w:rsidP="0037733A">
      <w:pPr>
        <w:rPr>
          <w:rFonts w:ascii="Arial" w:eastAsiaTheme="minorEastAsia" w:hAnsi="Arial" w:cs="Arial"/>
          <w:color w:val="4F81BD" w:themeColor="accent1"/>
          <w:kern w:val="24"/>
          <w:sz w:val="24"/>
          <w:szCs w:val="24"/>
        </w:rPr>
      </w:pPr>
      <w:r w:rsidRPr="0037733A">
        <w:rPr>
          <w:rFonts w:ascii="Arial" w:eastAsiaTheme="minorEastAsia" w:hAnsi="Arial" w:cs="Arial"/>
          <w:b/>
          <w:color w:val="4F81BD" w:themeColor="accent1"/>
          <w:kern w:val="24"/>
          <w:sz w:val="24"/>
          <w:szCs w:val="24"/>
        </w:rPr>
        <w:t>Tehnički materijali</w:t>
      </w:r>
      <w:r w:rsidRPr="0037733A">
        <w:rPr>
          <w:rFonts w:ascii="Arial" w:eastAsiaTheme="minorEastAsia" w:hAnsi="Arial" w:cs="Arial"/>
          <w:color w:val="4F81BD" w:themeColor="accent1"/>
          <w:kern w:val="24"/>
          <w:sz w:val="24"/>
          <w:szCs w:val="24"/>
        </w:rPr>
        <w:t xml:space="preserve"> – Ib </w:t>
      </w:r>
    </w:p>
    <w:p w:rsidR="0037733A" w:rsidRDefault="0037733A" w:rsidP="0037733A">
      <w:pPr>
        <w:rPr>
          <w:rFonts w:ascii="Arial" w:eastAsiaTheme="minorEastAsia" w:hAnsi="Arial" w:cs="Arial"/>
          <w:color w:val="FF0000"/>
          <w:kern w:val="24"/>
          <w:sz w:val="24"/>
          <w:szCs w:val="24"/>
        </w:rPr>
      </w:pPr>
      <w:r w:rsidRPr="0037733A">
        <w:rPr>
          <w:rFonts w:ascii="Arial" w:eastAsiaTheme="minorEastAsia" w:hAnsi="Arial" w:cs="Arial"/>
          <w:color w:val="FF0000"/>
          <w:kern w:val="24"/>
          <w:sz w:val="24"/>
          <w:szCs w:val="24"/>
        </w:rPr>
        <w:t>Naučiti i odgovoriti na pitanja za ponavljanje.</w:t>
      </w:r>
    </w:p>
    <w:p w:rsidR="0037733A" w:rsidRPr="0037733A" w:rsidRDefault="0037733A" w:rsidP="0037733A">
      <w:pPr>
        <w:rPr>
          <w:rFonts w:ascii="Arial" w:eastAsiaTheme="minorEastAsia" w:hAnsi="Arial" w:cs="Arial"/>
          <w:color w:val="FF0000"/>
          <w:kern w:val="24"/>
          <w:sz w:val="24"/>
          <w:szCs w:val="24"/>
        </w:rPr>
      </w:pPr>
    </w:p>
    <w:p w:rsidR="00A278BA" w:rsidRPr="00A278BA" w:rsidRDefault="00A278BA">
      <w:pPr>
        <w:rPr>
          <w:rFonts w:ascii="Arial" w:eastAsiaTheme="minorEastAsia" w:hAnsi="Arial" w:cs="Arial"/>
          <w:color w:val="000000" w:themeColor="text1"/>
          <w:kern w:val="24"/>
          <w:sz w:val="24"/>
          <w:szCs w:val="24"/>
        </w:rPr>
      </w:pPr>
      <w:r w:rsidRPr="00A278BA">
        <w:rPr>
          <w:rFonts w:ascii="Arial" w:eastAsiaTheme="minorEastAsia" w:hAnsi="Arial" w:cs="Arial"/>
          <w:color w:val="000000" w:themeColor="text1"/>
          <w:kern w:val="24"/>
          <w:sz w:val="24"/>
          <w:szCs w:val="24"/>
        </w:rPr>
        <w:t>Energija koja se utroši pri udarnom savijanju je mjerilo osjetljivosti materijala na lokalnu koncentraciju napona.</w:t>
      </w:r>
    </w:p>
    <w:p w:rsidR="00D759D5" w:rsidRDefault="00A278BA">
      <w:pPr>
        <w:rPr>
          <w:rFonts w:ascii="Arial" w:eastAsiaTheme="minorEastAsia" w:hAnsi="Arial" w:cs="Arial"/>
          <w:b/>
          <w:color w:val="4F81BD" w:themeColor="accent1"/>
          <w:kern w:val="24"/>
          <w:sz w:val="24"/>
          <w:szCs w:val="24"/>
        </w:rPr>
      </w:pPr>
      <w:r w:rsidRPr="00A278BA">
        <w:rPr>
          <w:rFonts w:ascii="Arial" w:eastAsiaTheme="minorEastAsia" w:hAnsi="Arial" w:cs="Arial"/>
          <w:color w:val="000000" w:themeColor="text1"/>
          <w:kern w:val="24"/>
          <w:sz w:val="24"/>
          <w:szCs w:val="24"/>
        </w:rPr>
        <w:t xml:space="preserve"> Ispitivanje udarne žilavosti prvi je uveo Charpy i definirao je </w:t>
      </w:r>
      <w:r>
        <w:rPr>
          <w:rFonts w:ascii="Arial" w:eastAsiaTheme="minorEastAsia" w:hAnsi="Arial" w:cs="Arial"/>
          <w:color w:val="000000" w:themeColor="text1"/>
          <w:kern w:val="24"/>
          <w:sz w:val="24"/>
          <w:szCs w:val="24"/>
        </w:rPr>
        <w:t xml:space="preserve">mjeru žilavosti </w:t>
      </w:r>
      <w:r w:rsidRPr="00A278BA">
        <w:rPr>
          <w:rFonts w:ascii="Arial" w:eastAsiaTheme="minorEastAsia" w:hAnsi="Arial" w:cs="Arial"/>
          <w:color w:val="000000" w:themeColor="text1"/>
          <w:kern w:val="24"/>
          <w:sz w:val="24"/>
          <w:szCs w:val="24"/>
        </w:rPr>
        <w:t xml:space="preserve">kao </w:t>
      </w:r>
      <w:r w:rsidRPr="00A278BA">
        <w:rPr>
          <w:rFonts w:ascii="Arial" w:eastAsiaTheme="minorEastAsia" w:hAnsi="Arial" w:cs="Arial"/>
          <w:b/>
          <w:color w:val="4F81BD" w:themeColor="accent1"/>
          <w:kern w:val="24"/>
          <w:sz w:val="24"/>
          <w:szCs w:val="24"/>
        </w:rPr>
        <w:t xml:space="preserve">rad potreban za prijelom probnog uzorka presjeka 1 </w:t>
      </w:r>
      <w:r w:rsidRPr="00A278BA">
        <w:rPr>
          <w:rFonts w:ascii="Arial" w:eastAsiaTheme="minorEastAsia" w:hAnsi="Arial" w:cs="Arial"/>
          <w:b/>
          <w:i/>
          <w:iCs/>
          <w:color w:val="4F81BD" w:themeColor="accent1"/>
          <w:kern w:val="24"/>
          <w:sz w:val="24"/>
          <w:szCs w:val="24"/>
        </w:rPr>
        <w:t>cm</w:t>
      </w:r>
      <w:r w:rsidRPr="00A278BA">
        <w:rPr>
          <w:rFonts w:ascii="Arial" w:eastAsiaTheme="minorEastAsia" w:hAnsi="Arial" w:cs="Arial"/>
          <w:b/>
          <w:color w:val="4F81BD" w:themeColor="accent1"/>
          <w:kern w:val="24"/>
          <w:sz w:val="24"/>
          <w:szCs w:val="24"/>
        </w:rPr>
        <w:t>2, koji sadrži žljeb propisanih dimenzija.</w:t>
      </w:r>
    </w:p>
    <w:p w:rsidR="00A278BA" w:rsidRDefault="00A278BA">
      <w:pPr>
        <w:rPr>
          <w:rFonts w:ascii="Arial" w:eastAsiaTheme="minorEastAsia" w:hAnsi="Arial" w:cs="Arial"/>
          <w:b/>
          <w:color w:val="4F81BD" w:themeColor="accent1"/>
          <w:kern w:val="24"/>
          <w:sz w:val="24"/>
          <w:szCs w:val="24"/>
        </w:rPr>
      </w:pPr>
      <w:r w:rsidRPr="00A278BA">
        <w:rPr>
          <w:rFonts w:ascii="Arial" w:eastAsiaTheme="minorEastAsia" w:hAnsi="Arial" w:cs="Arial"/>
          <w:kern w:val="24"/>
          <w:sz w:val="24"/>
          <w:szCs w:val="24"/>
        </w:rPr>
        <w:t>Otpornost materijala na udarno opterećenje se zove</w:t>
      </w:r>
      <w:r>
        <w:rPr>
          <w:rFonts w:ascii="Arial" w:eastAsiaTheme="minorEastAsia" w:hAnsi="Arial" w:cs="Arial"/>
          <w:b/>
          <w:color w:val="4F81BD" w:themeColor="accent1"/>
          <w:kern w:val="24"/>
          <w:sz w:val="24"/>
          <w:szCs w:val="24"/>
        </w:rPr>
        <w:t xml:space="preserve"> žilavost.</w:t>
      </w:r>
    </w:p>
    <w:p w:rsidR="00A278BA" w:rsidRDefault="00A278BA" w:rsidP="00A278BA">
      <w:pPr>
        <w:jc w:val="center"/>
        <w:rPr>
          <w:rFonts w:ascii="Arial" w:hAnsi="Arial" w:cs="Arial"/>
          <w:sz w:val="24"/>
          <w:szCs w:val="24"/>
        </w:rPr>
      </w:pPr>
      <w:r>
        <w:rPr>
          <w:rFonts w:ascii="Arial" w:hAnsi="Arial" w:cs="Arial"/>
          <w:noProof/>
          <w:sz w:val="24"/>
          <w:szCs w:val="24"/>
          <w:lang w:val="bs-Latn-BA" w:eastAsia="bs-Latn-BA"/>
        </w:rPr>
        <w:drawing>
          <wp:inline distT="0" distB="0" distL="0" distR="0" wp14:anchorId="4D1C133B">
            <wp:extent cx="2981325" cy="347837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1813" cy="3478945"/>
                    </a:xfrm>
                    <a:prstGeom prst="rect">
                      <a:avLst/>
                    </a:prstGeom>
                    <a:noFill/>
                  </pic:spPr>
                </pic:pic>
              </a:graphicData>
            </a:graphic>
          </wp:inline>
        </w:drawing>
      </w:r>
    </w:p>
    <w:p w:rsidR="0037733A" w:rsidRDefault="0037733A" w:rsidP="00A278BA">
      <w:pPr>
        <w:jc w:val="center"/>
        <w:rPr>
          <w:rFonts w:ascii="Arial" w:hAnsi="Arial" w:cs="Arial"/>
          <w:sz w:val="24"/>
          <w:szCs w:val="24"/>
        </w:rPr>
      </w:pPr>
    </w:p>
    <w:p w:rsidR="0037733A" w:rsidRDefault="0037733A" w:rsidP="0037733A">
      <w:pPr>
        <w:pBdr>
          <w:bottom w:val="single" w:sz="4" w:space="1" w:color="auto"/>
        </w:pBdr>
        <w:rPr>
          <w:rFonts w:ascii="Arial" w:hAnsi="Arial" w:cs="Arial"/>
          <w:sz w:val="24"/>
          <w:szCs w:val="24"/>
        </w:rPr>
      </w:pPr>
      <w:r>
        <w:rPr>
          <w:rFonts w:ascii="Arial" w:hAnsi="Arial" w:cs="Arial"/>
          <w:sz w:val="24"/>
          <w:szCs w:val="24"/>
        </w:rPr>
        <w:t>Ponavljanje</w:t>
      </w:r>
    </w:p>
    <w:p w:rsidR="0037733A" w:rsidRDefault="0037733A" w:rsidP="0037733A">
      <w:pPr>
        <w:pStyle w:val="ListParagraph"/>
        <w:numPr>
          <w:ilvl w:val="0"/>
          <w:numId w:val="1"/>
        </w:numPr>
        <w:rPr>
          <w:rFonts w:ascii="Arial" w:hAnsi="Arial" w:cs="Arial"/>
          <w:sz w:val="24"/>
          <w:szCs w:val="24"/>
        </w:rPr>
      </w:pPr>
      <w:r>
        <w:rPr>
          <w:rFonts w:ascii="Arial" w:hAnsi="Arial" w:cs="Arial"/>
          <w:sz w:val="24"/>
          <w:szCs w:val="24"/>
        </w:rPr>
        <w:t>Što je žilavost?</w:t>
      </w:r>
    </w:p>
    <w:p w:rsidR="0037733A" w:rsidRDefault="0037733A" w:rsidP="0037733A">
      <w:pPr>
        <w:pStyle w:val="ListParagraph"/>
        <w:numPr>
          <w:ilvl w:val="0"/>
          <w:numId w:val="1"/>
        </w:numPr>
        <w:rPr>
          <w:rFonts w:ascii="Arial" w:hAnsi="Arial" w:cs="Arial"/>
          <w:sz w:val="24"/>
          <w:szCs w:val="24"/>
        </w:rPr>
      </w:pPr>
      <w:r>
        <w:rPr>
          <w:rFonts w:ascii="Arial" w:hAnsi="Arial" w:cs="Arial"/>
          <w:sz w:val="24"/>
          <w:szCs w:val="24"/>
        </w:rPr>
        <w:t>Što je mjera žilavosti kod Charpyjeve metode mjerenja?</w:t>
      </w:r>
    </w:p>
    <w:p w:rsidR="0037733A" w:rsidRDefault="0037733A" w:rsidP="0037733A">
      <w:pPr>
        <w:rPr>
          <w:rFonts w:ascii="Arial" w:hAnsi="Arial" w:cs="Arial"/>
          <w:sz w:val="24"/>
          <w:szCs w:val="24"/>
        </w:rPr>
      </w:pPr>
    </w:p>
    <w:p w:rsidR="0037733A" w:rsidRDefault="0037733A" w:rsidP="0037733A">
      <w:pPr>
        <w:rPr>
          <w:rFonts w:ascii="Arial" w:hAnsi="Arial" w:cs="Arial"/>
          <w:sz w:val="24"/>
          <w:szCs w:val="24"/>
        </w:rPr>
      </w:pPr>
    </w:p>
    <w:p w:rsidR="0037733A" w:rsidRPr="0037733A" w:rsidRDefault="0037733A" w:rsidP="0037733A">
      <w:pPr>
        <w:jc w:val="center"/>
        <w:rPr>
          <w:rFonts w:ascii="Arial" w:eastAsiaTheme="minorEastAsia" w:hAnsi="Arial" w:cs="Arial"/>
          <w:kern w:val="24"/>
          <w:sz w:val="40"/>
          <w:szCs w:val="40"/>
        </w:rPr>
      </w:pPr>
      <w:r>
        <w:rPr>
          <w:rFonts w:ascii="Arial" w:eastAsiaTheme="minorEastAsia" w:hAnsi="Arial" w:cs="Arial"/>
          <w:kern w:val="24"/>
          <w:sz w:val="40"/>
          <w:szCs w:val="40"/>
        </w:rPr>
        <w:lastRenderedPageBreak/>
        <w:t>Ispitivanje tvrdoće po Shoreu</w:t>
      </w:r>
    </w:p>
    <w:p w:rsidR="0037733A" w:rsidRPr="0037733A" w:rsidRDefault="0037733A" w:rsidP="0037733A">
      <w:pPr>
        <w:rPr>
          <w:rFonts w:ascii="Arial" w:eastAsiaTheme="minorEastAsia" w:hAnsi="Arial" w:cs="Arial"/>
          <w:color w:val="4F81BD" w:themeColor="accent1"/>
          <w:kern w:val="24"/>
          <w:sz w:val="24"/>
          <w:szCs w:val="24"/>
        </w:rPr>
      </w:pPr>
      <w:r w:rsidRPr="0037733A">
        <w:rPr>
          <w:rFonts w:ascii="Arial" w:eastAsiaTheme="minorEastAsia" w:hAnsi="Arial" w:cs="Arial"/>
          <w:color w:val="4F81BD" w:themeColor="accent1"/>
          <w:kern w:val="24"/>
          <w:sz w:val="24"/>
          <w:szCs w:val="24"/>
        </w:rPr>
        <w:t>Obrada novog sadržaja; 2.4.2020.</w:t>
      </w:r>
    </w:p>
    <w:p w:rsidR="0037733A" w:rsidRPr="0037733A" w:rsidRDefault="0037733A" w:rsidP="0037733A">
      <w:pPr>
        <w:rPr>
          <w:rFonts w:ascii="Arial" w:eastAsiaTheme="minorEastAsia" w:hAnsi="Arial" w:cs="Arial"/>
          <w:color w:val="4F81BD" w:themeColor="accent1"/>
          <w:kern w:val="24"/>
          <w:sz w:val="24"/>
          <w:szCs w:val="24"/>
        </w:rPr>
      </w:pPr>
      <w:r w:rsidRPr="0037733A">
        <w:rPr>
          <w:rFonts w:ascii="Arial" w:eastAsiaTheme="minorEastAsia" w:hAnsi="Arial" w:cs="Arial"/>
          <w:b/>
          <w:color w:val="4F81BD" w:themeColor="accent1"/>
          <w:kern w:val="24"/>
          <w:sz w:val="24"/>
          <w:szCs w:val="24"/>
        </w:rPr>
        <w:t>Tehnički materijali</w:t>
      </w:r>
      <w:r w:rsidRPr="0037733A">
        <w:rPr>
          <w:rFonts w:ascii="Arial" w:eastAsiaTheme="minorEastAsia" w:hAnsi="Arial" w:cs="Arial"/>
          <w:color w:val="4F81BD" w:themeColor="accent1"/>
          <w:kern w:val="24"/>
          <w:sz w:val="24"/>
          <w:szCs w:val="24"/>
        </w:rPr>
        <w:t xml:space="preserve"> – Ib </w:t>
      </w:r>
    </w:p>
    <w:p w:rsidR="0037733A" w:rsidRDefault="0037733A" w:rsidP="0037733A">
      <w:pPr>
        <w:rPr>
          <w:rFonts w:ascii="Arial" w:eastAsiaTheme="minorEastAsia" w:hAnsi="Arial" w:cs="Arial"/>
          <w:color w:val="FF0000"/>
          <w:kern w:val="24"/>
          <w:sz w:val="24"/>
          <w:szCs w:val="24"/>
        </w:rPr>
      </w:pPr>
      <w:r w:rsidRPr="0037733A">
        <w:rPr>
          <w:rFonts w:ascii="Arial" w:eastAsiaTheme="minorEastAsia" w:hAnsi="Arial" w:cs="Arial"/>
          <w:color w:val="FF0000"/>
          <w:kern w:val="24"/>
          <w:sz w:val="24"/>
          <w:szCs w:val="24"/>
        </w:rPr>
        <w:t>Naučiti i odgovoriti na pitanja za ponavljanje.</w:t>
      </w:r>
    </w:p>
    <w:p w:rsidR="0037733A" w:rsidRDefault="0037733A" w:rsidP="0037733A">
      <w:pPr>
        <w:rPr>
          <w:rFonts w:ascii="Arial" w:hAnsi="Arial" w:cs="Arial"/>
          <w:sz w:val="24"/>
          <w:szCs w:val="24"/>
        </w:rPr>
      </w:pPr>
    </w:p>
    <w:p w:rsidR="0037733A" w:rsidRDefault="0037733A" w:rsidP="0037733A">
      <w:pPr>
        <w:kinsoku w:val="0"/>
        <w:overflowPunct w:val="0"/>
        <w:spacing w:after="0" w:line="240" w:lineRule="auto"/>
        <w:ind w:firstLine="851"/>
        <w:contextualSpacing/>
        <w:textAlignment w:val="baseline"/>
        <w:rPr>
          <w:rFonts w:eastAsiaTheme="minorEastAsia" w:hAnsi="Calibri"/>
          <w:color w:val="000000" w:themeColor="text1"/>
          <w:kern w:val="24"/>
          <w:sz w:val="24"/>
          <w:szCs w:val="24"/>
          <w:lang w:val="bs-Latn-BA" w:eastAsia="bs-Latn-BA"/>
        </w:rPr>
      </w:pPr>
      <w:r>
        <w:rPr>
          <w:rFonts w:eastAsiaTheme="minorEastAsia" w:hAnsi="Calibri"/>
          <w:color w:val="000000" w:themeColor="text1"/>
          <w:kern w:val="24"/>
          <w:sz w:val="24"/>
          <w:szCs w:val="24"/>
          <w:lang w:eastAsia="bs-Latn-BA"/>
        </w:rPr>
        <w:t xml:space="preserve">Tvrdoća po Shoreu </w:t>
      </w:r>
      <w:r w:rsidRPr="0037733A">
        <w:rPr>
          <w:rFonts w:eastAsiaTheme="minorEastAsia" w:hAnsi="Calibri"/>
          <w:color w:val="000000" w:themeColor="text1"/>
          <w:kern w:val="24"/>
          <w:sz w:val="24"/>
          <w:szCs w:val="24"/>
          <w:lang w:val="bs-Latn-BA" w:eastAsia="bs-Latn-BA"/>
        </w:rPr>
        <w:t xml:space="preserve">dredjuje se prema visini elastičnog odskoka malog utega koji slobodno pada sa odredjene visine. Poslije mjerenja ne ostaju nikakvi tragovi, koji bi mogli djelovati kao inicijalne napukline kod dinamički opterećenih dijelova. </w:t>
      </w:r>
    </w:p>
    <w:p w:rsidR="001820C4" w:rsidRDefault="001820C4" w:rsidP="0037733A">
      <w:pPr>
        <w:kinsoku w:val="0"/>
        <w:overflowPunct w:val="0"/>
        <w:spacing w:after="0" w:line="240" w:lineRule="auto"/>
        <w:ind w:firstLine="851"/>
        <w:contextualSpacing/>
        <w:textAlignment w:val="baseline"/>
        <w:rPr>
          <w:rFonts w:eastAsiaTheme="minorEastAsia" w:hAnsi="Calibri"/>
          <w:color w:val="000000" w:themeColor="text1"/>
          <w:kern w:val="24"/>
          <w:sz w:val="24"/>
          <w:szCs w:val="24"/>
          <w:lang w:val="bs-Latn-BA" w:eastAsia="bs-Latn-BA"/>
        </w:rPr>
      </w:pPr>
    </w:p>
    <w:p w:rsidR="0037733A" w:rsidRDefault="001820C4" w:rsidP="001820C4">
      <w:pPr>
        <w:kinsoku w:val="0"/>
        <w:overflowPunct w:val="0"/>
        <w:spacing w:after="0" w:line="240" w:lineRule="auto"/>
        <w:ind w:firstLine="851"/>
        <w:contextualSpacing/>
        <w:textAlignment w:val="baseline"/>
        <w:rPr>
          <w:rFonts w:eastAsiaTheme="minorEastAsia" w:hAnsi="Calibri"/>
          <w:color w:val="000000" w:themeColor="text1"/>
          <w:kern w:val="24"/>
          <w:sz w:val="24"/>
          <w:szCs w:val="24"/>
          <w:lang w:val="bs-Latn-BA" w:eastAsia="bs-Latn-BA"/>
        </w:rPr>
      </w:pPr>
      <w:r>
        <w:rPr>
          <w:rFonts w:eastAsiaTheme="minorEastAsia" w:hAnsi="Calibri"/>
          <w:color w:val="000000" w:themeColor="text1"/>
          <w:kern w:val="24"/>
          <w:sz w:val="24"/>
          <w:szCs w:val="24"/>
          <w:lang w:val="bs-Latn-BA" w:eastAsia="bs-Latn-BA"/>
        </w:rPr>
        <w:t>Metoda nije naročito precizna, ali se ipak dosta primjenjuje npr.kod ispitivanja kuglica za ležajeve. Ispitivanje se ponovi nekoliko puta pa se nađe srednja vrijednost rezultata. Tvrdoća se izražava u Shoreovim jedinicama HS.</w:t>
      </w:r>
    </w:p>
    <w:p w:rsidR="001820C4" w:rsidRDefault="001820C4" w:rsidP="001820C4">
      <w:pPr>
        <w:kinsoku w:val="0"/>
        <w:overflowPunct w:val="0"/>
        <w:spacing w:after="0" w:line="240" w:lineRule="auto"/>
        <w:ind w:firstLine="851"/>
        <w:contextualSpacing/>
        <w:textAlignment w:val="baseline"/>
        <w:rPr>
          <w:rFonts w:eastAsiaTheme="minorEastAsia" w:hAnsi="Calibri"/>
          <w:color w:val="000000" w:themeColor="text1"/>
          <w:kern w:val="24"/>
          <w:sz w:val="24"/>
          <w:szCs w:val="24"/>
          <w:lang w:val="bs-Latn-BA" w:eastAsia="bs-Latn-BA"/>
        </w:rPr>
      </w:pPr>
    </w:p>
    <w:p w:rsidR="001820C4" w:rsidRDefault="001820C4" w:rsidP="001820C4">
      <w:pPr>
        <w:kinsoku w:val="0"/>
        <w:overflowPunct w:val="0"/>
        <w:spacing w:after="0" w:line="240" w:lineRule="auto"/>
        <w:ind w:firstLine="851"/>
        <w:contextualSpacing/>
        <w:textAlignment w:val="baseline"/>
        <w:rPr>
          <w:rFonts w:ascii="Times New Roman" w:eastAsia="Times New Roman" w:hAnsi="Times New Roman" w:cs="Times New Roman"/>
          <w:sz w:val="24"/>
          <w:szCs w:val="24"/>
          <w:lang w:val="bs-Latn-BA" w:eastAsia="bs-Latn-BA"/>
        </w:rPr>
      </w:pPr>
      <w:r>
        <w:rPr>
          <w:rFonts w:eastAsiaTheme="minorEastAsia" w:hAnsi="Calibri"/>
          <w:color w:val="000000" w:themeColor="text1"/>
          <w:kern w:val="24"/>
          <w:sz w:val="24"/>
          <w:szCs w:val="24"/>
          <w:lang w:val="bs-Latn-BA" w:eastAsia="bs-Latn-BA"/>
        </w:rPr>
        <w:t>Metoda se koristi isključivo za ispitivanje čelika.</w:t>
      </w:r>
    </w:p>
    <w:p w:rsidR="001820C4" w:rsidRDefault="001820C4" w:rsidP="001820C4">
      <w:pPr>
        <w:kinsoku w:val="0"/>
        <w:overflowPunct w:val="0"/>
        <w:spacing w:after="0" w:line="240" w:lineRule="auto"/>
        <w:ind w:firstLine="851"/>
        <w:contextualSpacing/>
        <w:textAlignment w:val="baseline"/>
        <w:rPr>
          <w:rFonts w:ascii="Times New Roman" w:eastAsia="Times New Roman" w:hAnsi="Times New Roman" w:cs="Times New Roman"/>
          <w:sz w:val="24"/>
          <w:szCs w:val="24"/>
          <w:lang w:val="bs-Latn-BA" w:eastAsia="bs-Latn-BA"/>
        </w:rPr>
      </w:pPr>
    </w:p>
    <w:p w:rsidR="001820C4" w:rsidRPr="0037733A" w:rsidRDefault="001820C4" w:rsidP="001820C4">
      <w:pPr>
        <w:kinsoku w:val="0"/>
        <w:overflowPunct w:val="0"/>
        <w:spacing w:after="0" w:line="240" w:lineRule="auto"/>
        <w:ind w:firstLine="851"/>
        <w:contextualSpacing/>
        <w:textAlignment w:val="baseline"/>
        <w:rPr>
          <w:rFonts w:ascii="Arial" w:hAnsi="Arial" w:cs="Arial"/>
          <w:sz w:val="24"/>
          <w:szCs w:val="24"/>
          <w:lang w:val="bs-Latn-BA"/>
        </w:rPr>
      </w:pPr>
    </w:p>
    <w:p w:rsidR="0037733A" w:rsidRDefault="001820C4" w:rsidP="001820C4">
      <w:pPr>
        <w:jc w:val="center"/>
        <w:rPr>
          <w:rFonts w:ascii="Arial" w:hAnsi="Arial" w:cs="Arial"/>
          <w:sz w:val="24"/>
          <w:szCs w:val="24"/>
        </w:rPr>
      </w:pPr>
      <w:r>
        <w:rPr>
          <w:noProof/>
          <w:lang w:val="bs-Latn-BA" w:eastAsia="bs-Latn-BA"/>
        </w:rPr>
        <w:drawing>
          <wp:inline distT="0" distB="0" distL="0" distR="0" wp14:anchorId="1441D6B2" wp14:editId="7E1573D3">
            <wp:extent cx="1819275" cy="2324100"/>
            <wp:effectExtent l="0" t="0" r="9525" b="0"/>
            <wp:docPr id="81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275" cy="23241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1820C4" w:rsidRDefault="001820C4" w:rsidP="001820C4">
      <w:pPr>
        <w:rPr>
          <w:rFonts w:ascii="Arial" w:hAnsi="Arial" w:cs="Arial"/>
          <w:sz w:val="24"/>
          <w:szCs w:val="24"/>
        </w:rPr>
      </w:pPr>
    </w:p>
    <w:p w:rsidR="001820C4" w:rsidRDefault="001820C4" w:rsidP="001820C4">
      <w:pPr>
        <w:pBdr>
          <w:bottom w:val="single" w:sz="4" w:space="1" w:color="auto"/>
        </w:pBdr>
        <w:rPr>
          <w:rFonts w:ascii="Arial" w:hAnsi="Arial" w:cs="Arial"/>
          <w:sz w:val="24"/>
          <w:szCs w:val="24"/>
        </w:rPr>
      </w:pPr>
      <w:r>
        <w:rPr>
          <w:rFonts w:ascii="Arial" w:hAnsi="Arial" w:cs="Arial"/>
          <w:sz w:val="24"/>
          <w:szCs w:val="24"/>
        </w:rPr>
        <w:t>Ponavljanje</w:t>
      </w:r>
    </w:p>
    <w:p w:rsidR="001820C4" w:rsidRDefault="001820C4" w:rsidP="001820C4">
      <w:pPr>
        <w:pStyle w:val="ListParagraph"/>
        <w:numPr>
          <w:ilvl w:val="0"/>
          <w:numId w:val="3"/>
        </w:numPr>
        <w:rPr>
          <w:rFonts w:ascii="Arial" w:hAnsi="Arial" w:cs="Arial"/>
          <w:sz w:val="24"/>
          <w:szCs w:val="24"/>
        </w:rPr>
      </w:pPr>
      <w:r>
        <w:rPr>
          <w:rFonts w:ascii="Arial" w:hAnsi="Arial" w:cs="Arial"/>
          <w:sz w:val="24"/>
          <w:szCs w:val="24"/>
        </w:rPr>
        <w:t>Kako se određuje tvrdoća po Shoreu?</w:t>
      </w:r>
    </w:p>
    <w:p w:rsidR="001820C4" w:rsidRDefault="001820C4" w:rsidP="001820C4">
      <w:pPr>
        <w:pStyle w:val="ListParagraph"/>
        <w:numPr>
          <w:ilvl w:val="0"/>
          <w:numId w:val="3"/>
        </w:numPr>
        <w:rPr>
          <w:rFonts w:ascii="Arial" w:hAnsi="Arial" w:cs="Arial"/>
          <w:sz w:val="24"/>
          <w:szCs w:val="24"/>
        </w:rPr>
      </w:pPr>
      <w:r>
        <w:rPr>
          <w:rFonts w:ascii="Arial" w:hAnsi="Arial" w:cs="Arial"/>
          <w:sz w:val="24"/>
          <w:szCs w:val="24"/>
        </w:rPr>
        <w:t>Koja je dobra, a koja loša strana ovog načina ispitivanja?</w:t>
      </w:r>
    </w:p>
    <w:p w:rsidR="001820C4" w:rsidRPr="001820C4" w:rsidRDefault="001820C4" w:rsidP="001820C4">
      <w:pPr>
        <w:pStyle w:val="ListParagraph"/>
        <w:numPr>
          <w:ilvl w:val="0"/>
          <w:numId w:val="3"/>
        </w:numPr>
        <w:rPr>
          <w:rFonts w:ascii="Arial" w:hAnsi="Arial" w:cs="Arial"/>
          <w:sz w:val="24"/>
          <w:szCs w:val="24"/>
        </w:rPr>
      </w:pPr>
      <w:r>
        <w:rPr>
          <w:rFonts w:ascii="Arial" w:hAnsi="Arial" w:cs="Arial"/>
          <w:sz w:val="24"/>
          <w:szCs w:val="24"/>
        </w:rPr>
        <w:t>U kojim se jedinicama izražava tvrdoća?</w:t>
      </w:r>
      <w:bookmarkStart w:id="0" w:name="_GoBack"/>
      <w:bookmarkEnd w:id="0"/>
    </w:p>
    <w:sectPr w:rsidR="001820C4" w:rsidRPr="00182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B5CBC"/>
    <w:multiLevelType w:val="hybridMultilevel"/>
    <w:tmpl w:val="511CFBF8"/>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53F22171"/>
    <w:multiLevelType w:val="hybridMultilevel"/>
    <w:tmpl w:val="40E28F9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5D886984"/>
    <w:multiLevelType w:val="hybridMultilevel"/>
    <w:tmpl w:val="889C70DA"/>
    <w:lvl w:ilvl="0" w:tplc="C9706C9A">
      <w:start w:val="1"/>
      <w:numFmt w:val="bullet"/>
      <w:lvlText w:val="•"/>
      <w:lvlJc w:val="left"/>
      <w:pPr>
        <w:tabs>
          <w:tab w:val="num" w:pos="720"/>
        </w:tabs>
        <w:ind w:left="720" w:hanging="360"/>
      </w:pPr>
      <w:rPr>
        <w:rFonts w:ascii="Arial" w:hAnsi="Arial" w:hint="default"/>
      </w:rPr>
    </w:lvl>
    <w:lvl w:ilvl="1" w:tplc="C960E2A2" w:tentative="1">
      <w:start w:val="1"/>
      <w:numFmt w:val="bullet"/>
      <w:lvlText w:val="•"/>
      <w:lvlJc w:val="left"/>
      <w:pPr>
        <w:tabs>
          <w:tab w:val="num" w:pos="1440"/>
        </w:tabs>
        <w:ind w:left="1440" w:hanging="360"/>
      </w:pPr>
      <w:rPr>
        <w:rFonts w:ascii="Arial" w:hAnsi="Arial" w:hint="default"/>
      </w:rPr>
    </w:lvl>
    <w:lvl w:ilvl="2" w:tplc="223E222C" w:tentative="1">
      <w:start w:val="1"/>
      <w:numFmt w:val="bullet"/>
      <w:lvlText w:val="•"/>
      <w:lvlJc w:val="left"/>
      <w:pPr>
        <w:tabs>
          <w:tab w:val="num" w:pos="2160"/>
        </w:tabs>
        <w:ind w:left="2160" w:hanging="360"/>
      </w:pPr>
      <w:rPr>
        <w:rFonts w:ascii="Arial" w:hAnsi="Arial" w:hint="default"/>
      </w:rPr>
    </w:lvl>
    <w:lvl w:ilvl="3" w:tplc="439620D8" w:tentative="1">
      <w:start w:val="1"/>
      <w:numFmt w:val="bullet"/>
      <w:lvlText w:val="•"/>
      <w:lvlJc w:val="left"/>
      <w:pPr>
        <w:tabs>
          <w:tab w:val="num" w:pos="2880"/>
        </w:tabs>
        <w:ind w:left="2880" w:hanging="360"/>
      </w:pPr>
      <w:rPr>
        <w:rFonts w:ascii="Arial" w:hAnsi="Arial" w:hint="default"/>
      </w:rPr>
    </w:lvl>
    <w:lvl w:ilvl="4" w:tplc="41549C2A" w:tentative="1">
      <w:start w:val="1"/>
      <w:numFmt w:val="bullet"/>
      <w:lvlText w:val="•"/>
      <w:lvlJc w:val="left"/>
      <w:pPr>
        <w:tabs>
          <w:tab w:val="num" w:pos="3600"/>
        </w:tabs>
        <w:ind w:left="3600" w:hanging="360"/>
      </w:pPr>
      <w:rPr>
        <w:rFonts w:ascii="Arial" w:hAnsi="Arial" w:hint="default"/>
      </w:rPr>
    </w:lvl>
    <w:lvl w:ilvl="5" w:tplc="911E9616" w:tentative="1">
      <w:start w:val="1"/>
      <w:numFmt w:val="bullet"/>
      <w:lvlText w:val="•"/>
      <w:lvlJc w:val="left"/>
      <w:pPr>
        <w:tabs>
          <w:tab w:val="num" w:pos="4320"/>
        </w:tabs>
        <w:ind w:left="4320" w:hanging="360"/>
      </w:pPr>
      <w:rPr>
        <w:rFonts w:ascii="Arial" w:hAnsi="Arial" w:hint="default"/>
      </w:rPr>
    </w:lvl>
    <w:lvl w:ilvl="6" w:tplc="6644DCA4" w:tentative="1">
      <w:start w:val="1"/>
      <w:numFmt w:val="bullet"/>
      <w:lvlText w:val="•"/>
      <w:lvlJc w:val="left"/>
      <w:pPr>
        <w:tabs>
          <w:tab w:val="num" w:pos="5040"/>
        </w:tabs>
        <w:ind w:left="5040" w:hanging="360"/>
      </w:pPr>
      <w:rPr>
        <w:rFonts w:ascii="Arial" w:hAnsi="Arial" w:hint="default"/>
      </w:rPr>
    </w:lvl>
    <w:lvl w:ilvl="7" w:tplc="2F4A93A4" w:tentative="1">
      <w:start w:val="1"/>
      <w:numFmt w:val="bullet"/>
      <w:lvlText w:val="•"/>
      <w:lvlJc w:val="left"/>
      <w:pPr>
        <w:tabs>
          <w:tab w:val="num" w:pos="5760"/>
        </w:tabs>
        <w:ind w:left="5760" w:hanging="360"/>
      </w:pPr>
      <w:rPr>
        <w:rFonts w:ascii="Arial" w:hAnsi="Arial" w:hint="default"/>
      </w:rPr>
    </w:lvl>
    <w:lvl w:ilvl="8" w:tplc="8F4A75F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8BA"/>
    <w:rsid w:val="001820C4"/>
    <w:rsid w:val="0037733A"/>
    <w:rsid w:val="004A19BE"/>
    <w:rsid w:val="00A278BA"/>
    <w:rsid w:val="00D759D5"/>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8BA"/>
    <w:rPr>
      <w:rFonts w:ascii="Tahoma" w:hAnsi="Tahoma" w:cs="Tahoma"/>
      <w:sz w:val="16"/>
      <w:szCs w:val="16"/>
      <w:lang w:val="hr-HR"/>
    </w:rPr>
  </w:style>
  <w:style w:type="paragraph" w:styleId="ListParagraph">
    <w:name w:val="List Paragraph"/>
    <w:basedOn w:val="Normal"/>
    <w:uiPriority w:val="34"/>
    <w:qFormat/>
    <w:rsid w:val="003773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8BA"/>
    <w:rPr>
      <w:rFonts w:ascii="Tahoma" w:hAnsi="Tahoma" w:cs="Tahoma"/>
      <w:sz w:val="16"/>
      <w:szCs w:val="16"/>
      <w:lang w:val="hr-HR"/>
    </w:rPr>
  </w:style>
  <w:style w:type="paragraph" w:styleId="ListParagraph">
    <w:name w:val="List Paragraph"/>
    <w:basedOn w:val="Normal"/>
    <w:uiPriority w:val="34"/>
    <w:qFormat/>
    <w:rsid w:val="003773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092188">
      <w:bodyDiv w:val="1"/>
      <w:marLeft w:val="0"/>
      <w:marRight w:val="0"/>
      <w:marTop w:val="0"/>
      <w:marBottom w:val="0"/>
      <w:divBdr>
        <w:top w:val="none" w:sz="0" w:space="0" w:color="auto"/>
        <w:left w:val="none" w:sz="0" w:space="0" w:color="auto"/>
        <w:bottom w:val="none" w:sz="0" w:space="0" w:color="auto"/>
        <w:right w:val="none" w:sz="0" w:space="0" w:color="auto"/>
      </w:divBdr>
      <w:divsChild>
        <w:div w:id="127914003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2020-03-30T13:47:00Z</dcterms:created>
  <dcterms:modified xsi:type="dcterms:W3CDTF">2020-03-30T14:17:00Z</dcterms:modified>
</cp:coreProperties>
</file>